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115"/>
        <w:gridCol w:w="10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528" w:type="dxa"/>
            <w:gridSpan w:val="3"/>
            <w:shd w:val="clear" w:color="auto" w:fill="E0E0E0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22646381"/>
            <w:r>
              <w:rPr>
                <w:rFonts w:hint="eastAsia" w:ascii="宋体" w:hAnsi="宋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云南省区域医疗中心医院信息系统建设推介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价标准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shd w:val="clear" w:color="auto" w:fill="E0E0E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2115" w:type="dxa"/>
            <w:shd w:val="clear" w:color="auto" w:fill="E0E0E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0957" w:type="dxa"/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技术部分</w:t>
            </w:r>
          </w:p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（25分）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技术参数（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7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系统支持云化部署(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；支持多独立法人、多独立医保代码医疗机构入驻、医院集团同质化统一管理（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系统支持住管中心管理（1分）、主诊医生负责制（1分）、护理垂直管理（1分）、运营绩效管理到单床（1分）等现代医院的管理要求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系统满足HL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V3及以上接口标准（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分）、支持单点登录（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分）、满足信创要求（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分）、采用主流数据库，支持国产数据库的迁移（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分）需求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软件总包方其医疗软件著作权数量：小于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个（1分）、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个-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个（2分）、＞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总包方承诺提供本项目自有的源代码及相关文档，包括但不限于数据库结构说明、软件详细设计文档等材料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（3分）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总包方有HIS、EMR、集成平台等一体化的产品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rPr>
                <w:rFonts w:hint="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总包方有医疗数据中心（平台）建设产品。（2分）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方案部分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系统建设方案（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957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第一个档次（5分）：系统建设方案内容详细、具体、科学、合理可行，针对性强（3分）；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总包方通过CMMI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级及以上认证（2分）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第二个档次（4分）：系统建设方案内容详细、具体、合理可行，有针对性（3分）；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总包方通过CMMI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级及以上认证（1分）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第三个档次（3分）：系统建设方案内容合理可行，但是不具体、缺乏针对性（2分）；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总包方通过CMMI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级及以上认证（1分）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第四个档次（2分）：系统建设方案内容不完整、不具体，无针对性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第五个档次（0分）：无系统建设方案。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数据设计及数据迁移、整合能力（</w:t>
            </w:r>
            <w: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957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第一个档次（5分）：提供完整的数据流图和技术架构（1分）、具有整合市一、市二院历史数据并统一集中存储和标化的能力（1分），并提供类似成功案例至少1例（1分）、以数据中台的方式统一管理数据字典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和维护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（1分）、对接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6种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Oracle、 SQL server、Sybase 、MySQL、DB2和MongoDB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）数据源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以上且支持4种（JDBC、ODBC、FTP、HTTP、WebService）接口技术以上进行数据交换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（1分）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第二个档次（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分）：提供完整的数据流图和技术架构（1分）、具有整合市一、市二院历史数据并统一集中存储和标化的能力，但不能提供类似成功案例（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分）、以数据中台的方式统一管理数据字典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和维护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（1分）、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对接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多种数据源但小于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6种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Oracle、 SQL server、Sybase 、MySQL、DB2和MongoDB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）数据源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或有支持但小于4种（JDBC、ODBC、HTTP、FTP、WebService）接口技术进行数据交换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第三个档次（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分）：提供完整的数据流图和技术架构（1分）、具有整合市一、市二院历史数据并统一集中存储和标化的能力，但不提供能类似成功案例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以非数据中台的方式统一管理数据字典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0.5分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第四个档次（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分）：提供完整的数据流图和技术架构（1分）、不具有整合市一、市二院历史数据并统一集中存储和标化的能力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不能提供类似成功案例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以非数据中台的方式统一管理数据字典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0分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第五个档次（0分）：未按上述要求提供。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时间进度计划安排评审（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957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第一个档次（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分）：交货方案及时间进度计划安排优于招标文件要求，交货安排具体、切实可行、科学规范、针对性特强，项目管理的进度计划特别详细（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承诺合同签订后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月内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能完成系统安装、部署、调试、培训等全部工作，能满足区域医疗中心开业全流程业务完全可用（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第二个档次（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分）：交货方案及时间进度计划安排完全满足招标文件要求，内容完整、交货安排较合理、切实可行、科学规范、有针对性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项目管理的进度计划完整、较详细（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承诺合同签订后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个月内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能完成系统安装、部署、调试、培训等全部工作，能满足区域医疗中心开业全流程业务完全可用（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第三个档次（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分）：交货方案及时间进度计划安排基本满足招标文件要求，交货安排合理、有针对性，项目管理的进度计划简单（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承诺合同签订后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个月内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能完成系统安装、部署、调试、培训等全部工作，能满足区域医疗中心开业全流程业务完全可用（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第四个档次（2分）：交货方案及时间进度计划安排合理，但无针对性，无项目管理的进度计划；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个月内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完成工期无承诺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第五个档次（1分）：交货方案及时间进度计划安排不合理，内容简单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对完成工期无承诺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第六个档次（0分）：未提供交货方案及时间进度计划安排。对完成工期无承诺。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项目团队（10分）</w:t>
            </w:r>
          </w:p>
        </w:tc>
        <w:tc>
          <w:tcPr>
            <w:tcW w:w="10957" w:type="dxa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="宋体" w:hAnsi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第一个档次（10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）：驻场施工人员150名及以上，其中大区项目经理1名及以上、副经理3名及以上、研发人员25名及以上（5年及以上研发经验人员占比达60%），测试人员5名及以上，实施人员116名以上；</w:t>
            </w:r>
          </w:p>
          <w:p>
            <w:pPr>
              <w:pStyle w:val="8"/>
              <w:ind w:left="0" w:leftChars="0" w:firstLine="0" w:firstLineChars="0"/>
              <w:rPr>
                <w:rFonts w:hint="eastAsia" w:ascii="宋体" w:hAnsi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第二个档次（6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）：驻场施工人员130名及以上，其中大区项目经理1名及以上、副经理2名及以上、研发人员20名及以上（5年及以上研发经验人员占比达60%），测试人员4名及以上，实施人员103名以上；</w:t>
            </w:r>
          </w:p>
          <w:p>
            <w:pPr>
              <w:pStyle w:val="8"/>
              <w:ind w:left="0" w:leftChars="0" w:firstLine="0" w:firstLineChars="0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第三个档次（2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）：驻场施工人员110名及以上，其中大区项目经理1名及以上、副经理1名及以上、研发人员18名及以上（5年及以上研发经验人员占比达60%），测试人员4名及以上，实施人员86名以上。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pacing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宋体" w:hAnsi="宋体"/>
                <w:b/>
                <w:bCs/>
                <w:color w:val="000000" w:themeColor="text1"/>
                <w:spacing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运维服务方案(5分)</w:t>
            </w:r>
          </w:p>
        </w:tc>
        <w:tc>
          <w:tcPr>
            <w:tcW w:w="109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第一个档次（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有明确具体的运维服务方案，包含运维的各个环节、运维范围、质量控制、风险控制，且具有完善、针对性强的保密管理、项目管理、质量管理、人员管理等安全管理制度，风险控制要素完整、措施可行的；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个档次（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有运维服务方案，基本包含运维的各个环节、运维范围、质量控制、风险控制，保密管理、项目管理、质量管理、人员管理等安全管理制度欠佳，风险控制措施欠佳的；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个档次（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运维服务方案简单，缺少运维环节、运维范围、质量控制、风险控制，保密管理、项目管理、质量管理、人员管理等安全管理制度不完善，缺乏风险控制措施的；</w:t>
            </w:r>
          </w:p>
          <w:p>
            <w:pPr>
              <w:pStyle w:val="4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个档次（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分）：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运维服务方案简单，运维管理制度不完善，无风险控制措施的。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456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类似项目业绩</w:t>
            </w:r>
          </w:p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spacing w:line="400" w:lineRule="exact"/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）参与推介的软件制作商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自20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年1月1日至今承接过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张床以上省级或国家级医疗中心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项目；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）软件承建方提供近五年以来以其承建HIS+电子病历为主的服务医院通过电子病历六级或电子病历七级、互联互通4甲或1家互联互通五乙的案例情况：电子病历6级每家医院1分，电子病历7级每家医院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分（该项累计不超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互联互通4甲每家医院1分，互联互通5乙每家医院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分（该项累计不超3分）；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智慧服务3级每家医院1分，智慧服务4级每家医院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分（该项累计不超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报价部分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color w:val="000000" w:themeColor="text1"/>
                <w:spacing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  <w:r>
              <w:rPr>
                <w:rFonts w:hint="eastAsia" w:ascii="宋体" w:hAnsi="宋体"/>
                <w:b/>
                <w:color w:val="000000" w:themeColor="text1"/>
                <w:spacing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总报价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pacing w:val="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/>
                <w:b/>
                <w:color w:val="000000" w:themeColor="text1"/>
                <w:spacing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宋体" w:hAnsi="宋体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/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根据各投标人投标报价按照以下规则进行打分。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6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6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评审计算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基准价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＝满足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信息系统建设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要求且最低报价为评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基准价；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6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)得分计算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信息系统建设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要求且最低的报价，其价格分为满分。其他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方案推介方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的价格分统一按照下列公式计算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＝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(基准价/报价)×权重×100</w:t>
            </w:r>
          </w:p>
        </w:tc>
      </w:tr>
    </w:tbl>
    <w:p/>
    <w:p/>
    <w:p>
      <w:pPr>
        <w:pStyle w:val="3"/>
      </w:pPr>
    </w:p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985B4"/>
    <w:multiLevelType w:val="singleLevel"/>
    <w:tmpl w:val="D3A985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MGRiZTYwMmJmYThiY2M4NDlhOTdkM2I0M2MxMWYifQ=="/>
  </w:docVars>
  <w:rsids>
    <w:rsidRoot w:val="302F7777"/>
    <w:rsid w:val="00126E49"/>
    <w:rsid w:val="00155351"/>
    <w:rsid w:val="00217685"/>
    <w:rsid w:val="005A6D64"/>
    <w:rsid w:val="006733DF"/>
    <w:rsid w:val="008D313A"/>
    <w:rsid w:val="00A010BF"/>
    <w:rsid w:val="00A10993"/>
    <w:rsid w:val="00B62F9C"/>
    <w:rsid w:val="00C51FD7"/>
    <w:rsid w:val="00C85DA6"/>
    <w:rsid w:val="00DC5798"/>
    <w:rsid w:val="00F03E45"/>
    <w:rsid w:val="01543382"/>
    <w:rsid w:val="01CF32DE"/>
    <w:rsid w:val="01D408F4"/>
    <w:rsid w:val="01EF572E"/>
    <w:rsid w:val="02BF77F6"/>
    <w:rsid w:val="02C44E0D"/>
    <w:rsid w:val="04003C23"/>
    <w:rsid w:val="04657F2A"/>
    <w:rsid w:val="048B3E34"/>
    <w:rsid w:val="04A42800"/>
    <w:rsid w:val="04C80BE4"/>
    <w:rsid w:val="04D31337"/>
    <w:rsid w:val="04E11CA6"/>
    <w:rsid w:val="04E43544"/>
    <w:rsid w:val="05133572"/>
    <w:rsid w:val="057C2704"/>
    <w:rsid w:val="05E41A4E"/>
    <w:rsid w:val="060F2843"/>
    <w:rsid w:val="06293905"/>
    <w:rsid w:val="065A1D10"/>
    <w:rsid w:val="067F1777"/>
    <w:rsid w:val="06B31420"/>
    <w:rsid w:val="06B50CF4"/>
    <w:rsid w:val="0781151E"/>
    <w:rsid w:val="07A70F85"/>
    <w:rsid w:val="07AD40C1"/>
    <w:rsid w:val="07BE007D"/>
    <w:rsid w:val="07C02047"/>
    <w:rsid w:val="08033CE1"/>
    <w:rsid w:val="08444A26"/>
    <w:rsid w:val="08B51480"/>
    <w:rsid w:val="092B34F0"/>
    <w:rsid w:val="09B63701"/>
    <w:rsid w:val="09E322B9"/>
    <w:rsid w:val="0A6D18E6"/>
    <w:rsid w:val="0A8E1F88"/>
    <w:rsid w:val="0AC7091C"/>
    <w:rsid w:val="0AFC6999"/>
    <w:rsid w:val="0B240542"/>
    <w:rsid w:val="0BA17A99"/>
    <w:rsid w:val="0C1D1D2F"/>
    <w:rsid w:val="0C4A6383"/>
    <w:rsid w:val="0D391394"/>
    <w:rsid w:val="0D991370"/>
    <w:rsid w:val="0DA80FD8"/>
    <w:rsid w:val="0DC7755F"/>
    <w:rsid w:val="0E0D1416"/>
    <w:rsid w:val="0ED72DE7"/>
    <w:rsid w:val="0EE505E5"/>
    <w:rsid w:val="0FB65EEB"/>
    <w:rsid w:val="0FB9733F"/>
    <w:rsid w:val="0FCB3337"/>
    <w:rsid w:val="109B53FF"/>
    <w:rsid w:val="10E50428"/>
    <w:rsid w:val="10EC7A09"/>
    <w:rsid w:val="122D2087"/>
    <w:rsid w:val="1288550F"/>
    <w:rsid w:val="12C02EFB"/>
    <w:rsid w:val="12F6691D"/>
    <w:rsid w:val="13275AD4"/>
    <w:rsid w:val="132A0CBC"/>
    <w:rsid w:val="13421B62"/>
    <w:rsid w:val="140212F1"/>
    <w:rsid w:val="14482EE4"/>
    <w:rsid w:val="145F04F1"/>
    <w:rsid w:val="14C8078D"/>
    <w:rsid w:val="151C63E2"/>
    <w:rsid w:val="15227E9D"/>
    <w:rsid w:val="15310D02"/>
    <w:rsid w:val="154716B1"/>
    <w:rsid w:val="154A11A2"/>
    <w:rsid w:val="157224A6"/>
    <w:rsid w:val="15EA028F"/>
    <w:rsid w:val="162D131B"/>
    <w:rsid w:val="167F131F"/>
    <w:rsid w:val="16816E45"/>
    <w:rsid w:val="168801D3"/>
    <w:rsid w:val="16D72F09"/>
    <w:rsid w:val="172F4AF3"/>
    <w:rsid w:val="17364B64"/>
    <w:rsid w:val="17740758"/>
    <w:rsid w:val="178766DD"/>
    <w:rsid w:val="18226406"/>
    <w:rsid w:val="183D0B4A"/>
    <w:rsid w:val="185760AF"/>
    <w:rsid w:val="18622CA6"/>
    <w:rsid w:val="186B3909"/>
    <w:rsid w:val="18860743"/>
    <w:rsid w:val="18A961DF"/>
    <w:rsid w:val="18ED5514"/>
    <w:rsid w:val="193E101D"/>
    <w:rsid w:val="19A03A86"/>
    <w:rsid w:val="19A76BC3"/>
    <w:rsid w:val="19E46AD2"/>
    <w:rsid w:val="1A18186E"/>
    <w:rsid w:val="1A206975"/>
    <w:rsid w:val="1A2A3350"/>
    <w:rsid w:val="1B222279"/>
    <w:rsid w:val="1B6A434C"/>
    <w:rsid w:val="1BC752FA"/>
    <w:rsid w:val="1C2A7637"/>
    <w:rsid w:val="1C5446B4"/>
    <w:rsid w:val="1C821221"/>
    <w:rsid w:val="1CA218C3"/>
    <w:rsid w:val="1CA67605"/>
    <w:rsid w:val="1D5C5F16"/>
    <w:rsid w:val="1D785A4A"/>
    <w:rsid w:val="1E5170FD"/>
    <w:rsid w:val="1E9A4F48"/>
    <w:rsid w:val="1F2C36C6"/>
    <w:rsid w:val="1F5775FF"/>
    <w:rsid w:val="1F784B5D"/>
    <w:rsid w:val="1FCD6C57"/>
    <w:rsid w:val="20827A59"/>
    <w:rsid w:val="20A420AE"/>
    <w:rsid w:val="218E0668"/>
    <w:rsid w:val="22853819"/>
    <w:rsid w:val="23151041"/>
    <w:rsid w:val="23B73EA6"/>
    <w:rsid w:val="23F073B8"/>
    <w:rsid w:val="25225E03"/>
    <w:rsid w:val="255A11C3"/>
    <w:rsid w:val="25951FC5"/>
    <w:rsid w:val="25B6018D"/>
    <w:rsid w:val="25DF5936"/>
    <w:rsid w:val="260E1D77"/>
    <w:rsid w:val="261C26E6"/>
    <w:rsid w:val="262F66EE"/>
    <w:rsid w:val="265D759D"/>
    <w:rsid w:val="26713438"/>
    <w:rsid w:val="26A821CC"/>
    <w:rsid w:val="26BB1EFF"/>
    <w:rsid w:val="26BE554B"/>
    <w:rsid w:val="26F62F37"/>
    <w:rsid w:val="26FC6074"/>
    <w:rsid w:val="27201D62"/>
    <w:rsid w:val="273B7E63"/>
    <w:rsid w:val="279F7221"/>
    <w:rsid w:val="27AB1F74"/>
    <w:rsid w:val="27C748D4"/>
    <w:rsid w:val="27CA6B22"/>
    <w:rsid w:val="27EB05C2"/>
    <w:rsid w:val="28013942"/>
    <w:rsid w:val="282910EA"/>
    <w:rsid w:val="286D547B"/>
    <w:rsid w:val="28B07116"/>
    <w:rsid w:val="28B906C0"/>
    <w:rsid w:val="290556B4"/>
    <w:rsid w:val="296543A4"/>
    <w:rsid w:val="29824F56"/>
    <w:rsid w:val="2A6E7289"/>
    <w:rsid w:val="2AF43C32"/>
    <w:rsid w:val="2B4C581C"/>
    <w:rsid w:val="2B51698E"/>
    <w:rsid w:val="2BE912BD"/>
    <w:rsid w:val="2C016606"/>
    <w:rsid w:val="2CC80ED2"/>
    <w:rsid w:val="2D855015"/>
    <w:rsid w:val="2F0B154A"/>
    <w:rsid w:val="2F261EE0"/>
    <w:rsid w:val="2F662C24"/>
    <w:rsid w:val="2F9037FD"/>
    <w:rsid w:val="2F9A74DF"/>
    <w:rsid w:val="2FDE6C5E"/>
    <w:rsid w:val="302F7777"/>
    <w:rsid w:val="30A064A6"/>
    <w:rsid w:val="30D51E0F"/>
    <w:rsid w:val="30EE2ED1"/>
    <w:rsid w:val="31B1462B"/>
    <w:rsid w:val="320513B4"/>
    <w:rsid w:val="322E7A29"/>
    <w:rsid w:val="32340DB8"/>
    <w:rsid w:val="32E97DF4"/>
    <w:rsid w:val="3328091C"/>
    <w:rsid w:val="33613E2E"/>
    <w:rsid w:val="33664FA1"/>
    <w:rsid w:val="33B665D1"/>
    <w:rsid w:val="33FB393B"/>
    <w:rsid w:val="34563267"/>
    <w:rsid w:val="34F30AB6"/>
    <w:rsid w:val="34F82570"/>
    <w:rsid w:val="361909F0"/>
    <w:rsid w:val="37A4078E"/>
    <w:rsid w:val="37DA5F5D"/>
    <w:rsid w:val="383C4522"/>
    <w:rsid w:val="3857135C"/>
    <w:rsid w:val="38EF3C8A"/>
    <w:rsid w:val="393022D9"/>
    <w:rsid w:val="39663F4D"/>
    <w:rsid w:val="39736669"/>
    <w:rsid w:val="39873EC3"/>
    <w:rsid w:val="3A053765"/>
    <w:rsid w:val="3A525473"/>
    <w:rsid w:val="3A534313"/>
    <w:rsid w:val="3A9442ED"/>
    <w:rsid w:val="3A9954F0"/>
    <w:rsid w:val="3AC77963"/>
    <w:rsid w:val="3ACA22B9"/>
    <w:rsid w:val="3ACE7FFB"/>
    <w:rsid w:val="3B251BE5"/>
    <w:rsid w:val="3BC77734"/>
    <w:rsid w:val="3C12216A"/>
    <w:rsid w:val="3CAF42BA"/>
    <w:rsid w:val="3CC80A7A"/>
    <w:rsid w:val="3CDA396C"/>
    <w:rsid w:val="3D2844AD"/>
    <w:rsid w:val="3D7B789B"/>
    <w:rsid w:val="3DBF1E7D"/>
    <w:rsid w:val="3DD31485"/>
    <w:rsid w:val="3DEC2546"/>
    <w:rsid w:val="3E012496"/>
    <w:rsid w:val="3E66054B"/>
    <w:rsid w:val="3E7762B4"/>
    <w:rsid w:val="3F163D1F"/>
    <w:rsid w:val="3F310B59"/>
    <w:rsid w:val="3F362B07"/>
    <w:rsid w:val="3F397A0D"/>
    <w:rsid w:val="3F892743"/>
    <w:rsid w:val="3F8A2017"/>
    <w:rsid w:val="3FA255B3"/>
    <w:rsid w:val="3FCD3878"/>
    <w:rsid w:val="40356427"/>
    <w:rsid w:val="409D5D7A"/>
    <w:rsid w:val="4114603C"/>
    <w:rsid w:val="41156D59"/>
    <w:rsid w:val="41382B0D"/>
    <w:rsid w:val="4168282C"/>
    <w:rsid w:val="41BD0482"/>
    <w:rsid w:val="41DA7286"/>
    <w:rsid w:val="423B584A"/>
    <w:rsid w:val="4255690C"/>
    <w:rsid w:val="42A653BA"/>
    <w:rsid w:val="42BA4B4F"/>
    <w:rsid w:val="43B458B4"/>
    <w:rsid w:val="44112D07"/>
    <w:rsid w:val="44191BBB"/>
    <w:rsid w:val="44240C8C"/>
    <w:rsid w:val="447F4114"/>
    <w:rsid w:val="44A66E71"/>
    <w:rsid w:val="44DA57EF"/>
    <w:rsid w:val="454C6878"/>
    <w:rsid w:val="457A48DC"/>
    <w:rsid w:val="45EC7C11"/>
    <w:rsid w:val="45F75F2C"/>
    <w:rsid w:val="46FF32EA"/>
    <w:rsid w:val="47BC567F"/>
    <w:rsid w:val="47D66741"/>
    <w:rsid w:val="48716F21"/>
    <w:rsid w:val="48793AD3"/>
    <w:rsid w:val="48DE3E7F"/>
    <w:rsid w:val="48F50E49"/>
    <w:rsid w:val="49470ED8"/>
    <w:rsid w:val="497020CE"/>
    <w:rsid w:val="497A134E"/>
    <w:rsid w:val="49D15412"/>
    <w:rsid w:val="4AE36DAD"/>
    <w:rsid w:val="4AF84C20"/>
    <w:rsid w:val="4B3C2D5F"/>
    <w:rsid w:val="4B485AB3"/>
    <w:rsid w:val="4B50680B"/>
    <w:rsid w:val="4C4D4AF8"/>
    <w:rsid w:val="4D493511"/>
    <w:rsid w:val="4D4C3E0A"/>
    <w:rsid w:val="4D6B792C"/>
    <w:rsid w:val="4D814A59"/>
    <w:rsid w:val="4E9407BC"/>
    <w:rsid w:val="4EB37D11"/>
    <w:rsid w:val="4F3855EC"/>
    <w:rsid w:val="4F4A3571"/>
    <w:rsid w:val="50153B7F"/>
    <w:rsid w:val="509251CF"/>
    <w:rsid w:val="510E0CFA"/>
    <w:rsid w:val="512A18AC"/>
    <w:rsid w:val="518C0715"/>
    <w:rsid w:val="51A11B6E"/>
    <w:rsid w:val="51B00003"/>
    <w:rsid w:val="51D04201"/>
    <w:rsid w:val="5325232B"/>
    <w:rsid w:val="537D3F15"/>
    <w:rsid w:val="538B4884"/>
    <w:rsid w:val="544666CC"/>
    <w:rsid w:val="54C3004D"/>
    <w:rsid w:val="56336B0D"/>
    <w:rsid w:val="565031F4"/>
    <w:rsid w:val="56BC6B02"/>
    <w:rsid w:val="56BF4844"/>
    <w:rsid w:val="574C432A"/>
    <w:rsid w:val="575431DF"/>
    <w:rsid w:val="57827D4C"/>
    <w:rsid w:val="57D165DD"/>
    <w:rsid w:val="57D91936"/>
    <w:rsid w:val="580746F5"/>
    <w:rsid w:val="585567D2"/>
    <w:rsid w:val="58DE5456"/>
    <w:rsid w:val="5943175D"/>
    <w:rsid w:val="5982503B"/>
    <w:rsid w:val="5A117165"/>
    <w:rsid w:val="5A250E62"/>
    <w:rsid w:val="5A427C66"/>
    <w:rsid w:val="5A6E0A5B"/>
    <w:rsid w:val="5A783688"/>
    <w:rsid w:val="5A7C6356"/>
    <w:rsid w:val="5ADC7773"/>
    <w:rsid w:val="5B1213E7"/>
    <w:rsid w:val="5C0C052C"/>
    <w:rsid w:val="5C190553"/>
    <w:rsid w:val="5C5D0D87"/>
    <w:rsid w:val="5D211DB5"/>
    <w:rsid w:val="5DA622BA"/>
    <w:rsid w:val="5DD60DF1"/>
    <w:rsid w:val="5E2B5C0D"/>
    <w:rsid w:val="5E6261E1"/>
    <w:rsid w:val="5F322057"/>
    <w:rsid w:val="5F961D84"/>
    <w:rsid w:val="5FBB1EA9"/>
    <w:rsid w:val="5FE315A4"/>
    <w:rsid w:val="5FF10884"/>
    <w:rsid w:val="5FFB4B3F"/>
    <w:rsid w:val="60375F02"/>
    <w:rsid w:val="60457B68"/>
    <w:rsid w:val="6057789C"/>
    <w:rsid w:val="60C413D5"/>
    <w:rsid w:val="60C82547"/>
    <w:rsid w:val="612956DC"/>
    <w:rsid w:val="61306A6A"/>
    <w:rsid w:val="619D39D4"/>
    <w:rsid w:val="62314848"/>
    <w:rsid w:val="623600B0"/>
    <w:rsid w:val="624125B1"/>
    <w:rsid w:val="62634685"/>
    <w:rsid w:val="62C05BCC"/>
    <w:rsid w:val="62CF7BBD"/>
    <w:rsid w:val="635307EE"/>
    <w:rsid w:val="636522D0"/>
    <w:rsid w:val="63B474B3"/>
    <w:rsid w:val="63DA0F0F"/>
    <w:rsid w:val="63DD630A"/>
    <w:rsid w:val="64264155"/>
    <w:rsid w:val="64915A72"/>
    <w:rsid w:val="64963088"/>
    <w:rsid w:val="64D836A1"/>
    <w:rsid w:val="64E2007C"/>
    <w:rsid w:val="64E831B8"/>
    <w:rsid w:val="65E6594A"/>
    <w:rsid w:val="66065FEC"/>
    <w:rsid w:val="66177CE7"/>
    <w:rsid w:val="66A84E64"/>
    <w:rsid w:val="6736645D"/>
    <w:rsid w:val="67A07D7A"/>
    <w:rsid w:val="67DA6285"/>
    <w:rsid w:val="68817BAC"/>
    <w:rsid w:val="68E5013A"/>
    <w:rsid w:val="693115D2"/>
    <w:rsid w:val="6A6D488B"/>
    <w:rsid w:val="6AA61B4B"/>
    <w:rsid w:val="6AA81420"/>
    <w:rsid w:val="6B19056F"/>
    <w:rsid w:val="6B1D005F"/>
    <w:rsid w:val="6B2313EE"/>
    <w:rsid w:val="6B4D1FC7"/>
    <w:rsid w:val="6B4E646B"/>
    <w:rsid w:val="6BA37E39"/>
    <w:rsid w:val="6BD36970"/>
    <w:rsid w:val="6BFB1A23"/>
    <w:rsid w:val="6C3513D9"/>
    <w:rsid w:val="6C44161C"/>
    <w:rsid w:val="6C445178"/>
    <w:rsid w:val="6C7C7008"/>
    <w:rsid w:val="6C832144"/>
    <w:rsid w:val="6C8E0AE9"/>
    <w:rsid w:val="6C975BF0"/>
    <w:rsid w:val="6D062D75"/>
    <w:rsid w:val="6D5E495F"/>
    <w:rsid w:val="6E301E58"/>
    <w:rsid w:val="6E625D89"/>
    <w:rsid w:val="6E976D48"/>
    <w:rsid w:val="6E985C4F"/>
    <w:rsid w:val="6F585E11"/>
    <w:rsid w:val="70C76378"/>
    <w:rsid w:val="70D30A99"/>
    <w:rsid w:val="70DF7B65"/>
    <w:rsid w:val="70E17439"/>
    <w:rsid w:val="70F353BF"/>
    <w:rsid w:val="712F67DD"/>
    <w:rsid w:val="71431D65"/>
    <w:rsid w:val="71432511"/>
    <w:rsid w:val="715535C7"/>
    <w:rsid w:val="717E2EDA"/>
    <w:rsid w:val="71F91368"/>
    <w:rsid w:val="72DF5BFA"/>
    <w:rsid w:val="73171838"/>
    <w:rsid w:val="733777E5"/>
    <w:rsid w:val="733A1083"/>
    <w:rsid w:val="73CF5C6F"/>
    <w:rsid w:val="73E57241"/>
    <w:rsid w:val="741C69DA"/>
    <w:rsid w:val="74281823"/>
    <w:rsid w:val="7452064E"/>
    <w:rsid w:val="74842EFD"/>
    <w:rsid w:val="74D7478F"/>
    <w:rsid w:val="74FD05BA"/>
    <w:rsid w:val="758D4034"/>
    <w:rsid w:val="75BA2A64"/>
    <w:rsid w:val="75EE6DBB"/>
    <w:rsid w:val="75F95225"/>
    <w:rsid w:val="761958C7"/>
    <w:rsid w:val="76504D7D"/>
    <w:rsid w:val="76524935"/>
    <w:rsid w:val="76724FD8"/>
    <w:rsid w:val="7682346D"/>
    <w:rsid w:val="777A2396"/>
    <w:rsid w:val="77AE0291"/>
    <w:rsid w:val="78104AA8"/>
    <w:rsid w:val="7859372D"/>
    <w:rsid w:val="78B83176"/>
    <w:rsid w:val="78BF7D2B"/>
    <w:rsid w:val="794B3FEA"/>
    <w:rsid w:val="79872B48"/>
    <w:rsid w:val="799E680F"/>
    <w:rsid w:val="79B24069"/>
    <w:rsid w:val="7A147002"/>
    <w:rsid w:val="7A187C44"/>
    <w:rsid w:val="7A340F22"/>
    <w:rsid w:val="7AB20098"/>
    <w:rsid w:val="7AFE6E3A"/>
    <w:rsid w:val="7B0408F4"/>
    <w:rsid w:val="7B51340D"/>
    <w:rsid w:val="7BA63759"/>
    <w:rsid w:val="7BA93249"/>
    <w:rsid w:val="7BE77210"/>
    <w:rsid w:val="7C920181"/>
    <w:rsid w:val="7D384885"/>
    <w:rsid w:val="7DBD7981"/>
    <w:rsid w:val="7EE84089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 w:val="24"/>
      <w:szCs w:val="20"/>
      <w:lang w:val="zh-CN"/>
    </w:rPr>
  </w:style>
  <w:style w:type="paragraph" w:styleId="4">
    <w:name w:val="Body Text"/>
    <w:basedOn w:val="1"/>
    <w:next w:val="1"/>
    <w:qFormat/>
    <w:uiPriority w:val="0"/>
    <w:pPr>
      <w:spacing w:line="360" w:lineRule="auto"/>
    </w:pPr>
    <w:rPr>
      <w:rFonts w:ascii="Times New Roman" w:hAnsi="Times New Roman"/>
      <w:kern w:val="2"/>
      <w:szCs w:val="24"/>
    </w:rPr>
  </w:style>
  <w:style w:type="paragraph" w:styleId="5">
    <w:name w:val="Body Text Indent"/>
    <w:basedOn w:val="1"/>
    <w:unhideWhenUsed/>
    <w:qFormat/>
    <w:uiPriority w:val="99"/>
    <w:pPr>
      <w:spacing w:line="460" w:lineRule="exact"/>
      <w:ind w:firstLine="51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next w:val="9"/>
    <w:qFormat/>
    <w:uiPriority w:val="0"/>
    <w:pPr>
      <w:tabs>
        <w:tab w:val="left" w:pos="567"/>
      </w:tabs>
      <w:spacing w:after="120" w:line="240" w:lineRule="auto"/>
      <w:ind w:firstLine="420" w:firstLineChars="100"/>
    </w:pPr>
    <w:rPr>
      <w:rFonts w:ascii="Calibri" w:hAnsi="Calibri"/>
    </w:rPr>
  </w:style>
  <w:style w:type="paragraph" w:styleId="9">
    <w:name w:val="Body Text First Indent 2"/>
    <w:basedOn w:val="5"/>
    <w:next w:val="1"/>
    <w:unhideWhenUsed/>
    <w:qFormat/>
    <w:uiPriority w:val="99"/>
  </w:style>
  <w:style w:type="character" w:customStyle="1" w:styleId="12">
    <w:name w:val="页眉 字符"/>
    <w:basedOn w:val="11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2659</Words>
  <Characters>2844</Characters>
  <Lines>14</Lines>
  <Paragraphs>4</Paragraphs>
  <TotalTime>2</TotalTime>
  <ScaleCrop>false</ScaleCrop>
  <LinksUpToDate>false</LinksUpToDate>
  <CharactersWithSpaces>2851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2023-08-21T10:40:00Z</dcterms:created>
  <dc:creator>Burton</dc:creator>
  <cp:lastModifiedBy>那祭</cp:lastModifiedBy>
  <dcterms:modified xsi:type="dcterms:W3CDTF">2023-08-22T04:19:10Z</dcterms:modified>
  <dc:title>云南省区域医疗中心医院信息系统建设推介-技术部分评分表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656835E0CDCA478390BFE82E4D168095_13</vt:lpwstr>
  </property>
</Properties>
</file>